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D797" w14:textId="037B9FA3" w:rsidR="007225F5" w:rsidRPr="007225F5" w:rsidRDefault="007225F5" w:rsidP="007225F5">
      <w:pPr>
        <w:jc w:val="center"/>
        <w:rPr>
          <w:b/>
          <w:bCs/>
          <w:sz w:val="30"/>
          <w:szCs w:val="30"/>
        </w:rPr>
      </w:pPr>
      <w:r w:rsidRPr="007225F5">
        <w:rPr>
          <w:b/>
          <w:bCs/>
          <w:sz w:val="30"/>
          <w:szCs w:val="30"/>
        </w:rPr>
        <w:t>Konzept zum Schutz der Minderjährigen vor sexualisierter Gewalt</w:t>
      </w:r>
    </w:p>
    <w:p w14:paraId="0A7D72BD" w14:textId="77777777" w:rsidR="007225F5" w:rsidRDefault="007225F5"/>
    <w:p w14:paraId="33EF871D" w14:textId="7229118A" w:rsidR="003D32AE" w:rsidRPr="007225F5" w:rsidRDefault="003D32AE" w:rsidP="008F520D">
      <w:pPr>
        <w:jc w:val="both"/>
        <w:rPr>
          <w:u w:val="single"/>
        </w:rPr>
      </w:pPr>
      <w:r w:rsidRPr="007225F5">
        <w:rPr>
          <w:u w:val="single"/>
        </w:rPr>
        <w:t>Einleitung:</w:t>
      </w:r>
    </w:p>
    <w:p w14:paraId="4720728E" w14:textId="788FA062" w:rsidR="003D32AE" w:rsidRDefault="003D32AE" w:rsidP="008F520D">
      <w:pPr>
        <w:jc w:val="both"/>
      </w:pPr>
      <w:r>
        <w:t>Der Schutz von Kindern und Jugendlichen ist schon immer ein wichtiger Bestandteil der Arbeit im Verein</w:t>
      </w:r>
      <w:r w:rsidR="00AF739F">
        <w:t xml:space="preserve">. Kinder und Jugendliche entfalten ihre Persönlichkeit, lernen ihre Grenzen kennen und selbstbewusst ihre Meinung zu sagen. Sie werden als eigenständige Personen mit eigenem Willen und eigenen Bedürfnissen wahrgenommen und befähigt, zu selbstständigen Personen heranzuwachsen. </w:t>
      </w:r>
    </w:p>
    <w:p w14:paraId="47B6D236" w14:textId="11D4A03D" w:rsidR="00086FBF" w:rsidRDefault="00AF739F" w:rsidP="008F520D">
      <w:pPr>
        <w:jc w:val="both"/>
      </w:pPr>
      <w:r>
        <w:t>Tätigkeitsausschluss einschlägig vorbestrafter Personen nach SGB VIII §72a mit Hilfe des erweiterten Führungszeugnis</w:t>
      </w:r>
      <w:r w:rsidR="00086FBF">
        <w:t>ses</w:t>
      </w:r>
      <w:r w:rsidR="00A12B8C">
        <w:t xml:space="preserve"> alle 5 Jahre</w:t>
      </w:r>
    </w:p>
    <w:p w14:paraId="02EC8AFE" w14:textId="016669E0" w:rsidR="00086FBF" w:rsidRDefault="007225F5" w:rsidP="008F520D">
      <w:pPr>
        <w:jc w:val="both"/>
      </w:pPr>
      <w:r>
        <w:t xml:space="preserve">Als Ansprechpartner </w:t>
      </w:r>
      <w:r w:rsidR="008F520D">
        <w:t>dienen</w:t>
      </w:r>
      <w:r>
        <w:t xml:space="preserve"> die Jugendleitung</w:t>
      </w:r>
      <w:r w:rsidR="000A5E81">
        <w:t xml:space="preserve"> und die Präventionsbeauftragten </w:t>
      </w:r>
      <w:r w:rsidR="008F520D">
        <w:t>des</w:t>
      </w:r>
      <w:r w:rsidR="000A5E81">
        <w:t xml:space="preserve"> Verein</w:t>
      </w:r>
      <w:r w:rsidR="008F520D">
        <w:t>s</w:t>
      </w:r>
      <w:r w:rsidR="000A5E81">
        <w:t>.</w:t>
      </w:r>
    </w:p>
    <w:p w14:paraId="484C2AC0" w14:textId="51D9C66B" w:rsidR="00086FBF" w:rsidRPr="007225F5" w:rsidRDefault="00086FBF" w:rsidP="008F520D">
      <w:pPr>
        <w:jc w:val="both"/>
        <w:rPr>
          <w:u w:val="single"/>
        </w:rPr>
      </w:pPr>
      <w:r w:rsidRPr="007225F5">
        <w:rPr>
          <w:u w:val="single"/>
        </w:rPr>
        <w:t>Ehrenkodex:</w:t>
      </w:r>
    </w:p>
    <w:p w14:paraId="2A9DCDF0" w14:textId="0DCE9CE8" w:rsidR="00086FBF" w:rsidRDefault="00086FBF" w:rsidP="008F520D">
      <w:pPr>
        <w:pStyle w:val="Listenabsatz"/>
        <w:numPr>
          <w:ilvl w:val="0"/>
          <w:numId w:val="1"/>
        </w:numPr>
        <w:jc w:val="both"/>
      </w:pPr>
      <w:r>
        <w:t xml:space="preserve">Die Ehrenamtlichen werden vom Verein; Dachverband oder Jugendamt zu diesem Thema </w:t>
      </w:r>
      <w:r w:rsidR="003379B2">
        <w:t xml:space="preserve">ausgebildet und regelmäßig weitergebildet. </w:t>
      </w:r>
    </w:p>
    <w:p w14:paraId="4A663690" w14:textId="4E82E090" w:rsidR="003379B2" w:rsidRDefault="003379B2" w:rsidP="008F520D">
      <w:pPr>
        <w:pStyle w:val="Listenabsatz"/>
        <w:numPr>
          <w:ilvl w:val="0"/>
          <w:numId w:val="1"/>
        </w:numPr>
        <w:jc w:val="both"/>
      </w:pPr>
      <w:r>
        <w:t>Niemand wird zu einer Aktion, Übung, Trainingssequenz gezwungen</w:t>
      </w:r>
    </w:p>
    <w:p w14:paraId="0DEDC5EA" w14:textId="40FF767B" w:rsidR="003379B2" w:rsidRDefault="003379B2" w:rsidP="008F520D">
      <w:pPr>
        <w:pStyle w:val="Listenabsatz"/>
        <w:numPr>
          <w:ilvl w:val="0"/>
          <w:numId w:val="1"/>
        </w:numPr>
        <w:jc w:val="both"/>
      </w:pPr>
      <w:r>
        <w:t xml:space="preserve">Die Umgangssprache verzichtet auf sexistische und gewalttätige Äußerungen, falls </w:t>
      </w:r>
      <w:r w:rsidR="00B7424F">
        <w:t>solche sexualisierten Kommentare</w:t>
      </w:r>
      <w:r>
        <w:t xml:space="preserve"> oder sexualisiertes Verhalten im Verein vorkommt, wird dies thematisiert.</w:t>
      </w:r>
    </w:p>
    <w:p w14:paraId="4AA0E156" w14:textId="3D3ED248" w:rsidR="00B7424F" w:rsidRDefault="003379B2" w:rsidP="008F520D">
      <w:pPr>
        <w:pStyle w:val="Listenabsatz"/>
        <w:numPr>
          <w:ilvl w:val="0"/>
          <w:numId w:val="1"/>
        </w:numPr>
        <w:jc w:val="both"/>
      </w:pPr>
      <w:r>
        <w:t xml:space="preserve">Bei geplanten Einzeltrainings oder Übungsstunden wird immer das „Sechs-Augen Prinzip“ und/oder das „Prinzip der offenen Tür“ eingehalten. D.h. wenn </w:t>
      </w:r>
      <w:r w:rsidR="00B7424F">
        <w:t>ein Einzeltraining</w:t>
      </w:r>
      <w:r>
        <w:t xml:space="preserve"> stattfindet, muss ein weiterer Trainer/Übungsleiter bzw. eine weitere Person anwesend sein. Ist dies nicht möglich, sind alle Türen bis zur Eingangstür unverschlossen zu lassen. </w:t>
      </w:r>
    </w:p>
    <w:p w14:paraId="51D21123" w14:textId="0529CD94" w:rsidR="003379B2" w:rsidRDefault="00B7424F" w:rsidP="008F520D">
      <w:pPr>
        <w:pStyle w:val="Listenabsatz"/>
        <w:numPr>
          <w:ilvl w:val="0"/>
          <w:numId w:val="1"/>
        </w:numPr>
        <w:jc w:val="both"/>
      </w:pPr>
      <w:r>
        <w:t>Umkleideräume werden nur nach Klopfen und Aufforderung von den Ehrenamtlichen betreten.</w:t>
      </w:r>
    </w:p>
    <w:p w14:paraId="2FC06196" w14:textId="34CB6CF3" w:rsidR="00B7424F" w:rsidRDefault="00B7424F" w:rsidP="008F520D">
      <w:pPr>
        <w:pStyle w:val="Listenabsatz"/>
        <w:numPr>
          <w:ilvl w:val="0"/>
          <w:numId w:val="1"/>
        </w:numPr>
        <w:jc w:val="both"/>
      </w:pPr>
      <w:r>
        <w:t xml:space="preserve">Ehrenamtliche MitarbeiterInnen duschen nicht gleichzeitig mit Kindern und Jugendlichen. Sie übernachten auch nicht in Zimmern gemeinsam mit </w:t>
      </w:r>
      <w:r w:rsidR="007225F5">
        <w:t>den Minderjährigen</w:t>
      </w:r>
      <w:r>
        <w:t>.</w:t>
      </w:r>
    </w:p>
    <w:p w14:paraId="101093D7" w14:textId="028DD456" w:rsidR="00B7424F" w:rsidRDefault="00B7424F" w:rsidP="008F520D">
      <w:pPr>
        <w:pStyle w:val="Listenabsatz"/>
        <w:numPr>
          <w:ilvl w:val="0"/>
          <w:numId w:val="1"/>
        </w:numPr>
        <w:jc w:val="both"/>
      </w:pPr>
      <w:r>
        <w:t>Ehrenamtliche verteilen keine Geschenke an einzelnen Kindern und Jugendliche (Bevorzugung, die ein Abhängigkeitsverhältnis schafft).</w:t>
      </w:r>
    </w:p>
    <w:p w14:paraId="161791E1" w14:textId="436A3905" w:rsidR="00B7424F" w:rsidRDefault="00B7424F" w:rsidP="008F520D">
      <w:pPr>
        <w:pStyle w:val="Listenabsatz"/>
        <w:numPr>
          <w:ilvl w:val="0"/>
          <w:numId w:val="1"/>
        </w:numPr>
        <w:jc w:val="both"/>
      </w:pPr>
      <w:r>
        <w:t xml:space="preserve">Kinder und Jugendlichen werden nicht in den Privatbereich des Ehrenamtlichen (Wohnung, Haus, Garten, Boot, Hütte, usw.) mitgenommen. Die Regelung gilt auch für das Angebot der Übernachtung bei Wettkämpfen </w:t>
      </w:r>
      <w:r w:rsidR="0099009D">
        <w:t xml:space="preserve">oder Veranstaltungen. </w:t>
      </w:r>
    </w:p>
    <w:p w14:paraId="5D1A418B" w14:textId="7B1F7A1E" w:rsidR="0099009D" w:rsidRDefault="0099009D" w:rsidP="008F520D">
      <w:pPr>
        <w:pStyle w:val="Listenabsatz"/>
        <w:numPr>
          <w:ilvl w:val="0"/>
          <w:numId w:val="1"/>
        </w:numPr>
        <w:jc w:val="both"/>
      </w:pPr>
      <w:r>
        <w:t>Ehrenamtliche teilen mit Kindern und Jugendlichen keine Geheimnisse.</w:t>
      </w:r>
    </w:p>
    <w:p w14:paraId="05ADC1DF" w14:textId="5DB1282F" w:rsidR="0099009D" w:rsidRDefault="0099009D" w:rsidP="008F520D">
      <w:pPr>
        <w:pStyle w:val="Listenabsatz"/>
        <w:jc w:val="both"/>
      </w:pPr>
      <w:r>
        <w:t xml:space="preserve">Alle Absprachen, die ein Trainer/Übungsleiter mit einem Kind bzw. Jugendlichen trifft, können öffentlich gemacht werden. </w:t>
      </w:r>
    </w:p>
    <w:p w14:paraId="1418469A" w14:textId="6D06A0A8" w:rsidR="0099009D" w:rsidRDefault="0099009D" w:rsidP="008F520D">
      <w:pPr>
        <w:pStyle w:val="Listenabsatz"/>
        <w:numPr>
          <w:ilvl w:val="0"/>
          <w:numId w:val="1"/>
        </w:numPr>
        <w:jc w:val="both"/>
      </w:pPr>
      <w:r>
        <w:t>Körperliche Kontakte sowie notwendige Körperberührungen (z.B. sportliche Hilfestellungen</w:t>
      </w:r>
      <w:r w:rsidR="00336547">
        <w:t>;</w:t>
      </w:r>
      <w:r>
        <w:t xml:space="preserve"> in den Arm </w:t>
      </w:r>
      <w:r w:rsidR="000A5E81">
        <w:t>nehmen,</w:t>
      </w:r>
      <w:r>
        <w:t xml:space="preserve"> um zu trösten oder Mut zu machen) müssen von den Minderjährigen erwünscht und gewollt sein und dürfen das pädagogische Maß nicht überschreiten.</w:t>
      </w:r>
    </w:p>
    <w:p w14:paraId="07E26DE7" w14:textId="77777777" w:rsidR="00336547" w:rsidRDefault="00336547" w:rsidP="008F520D">
      <w:pPr>
        <w:pStyle w:val="Listenabsatz"/>
        <w:jc w:val="both"/>
      </w:pPr>
    </w:p>
    <w:p w14:paraId="7D2F3E11" w14:textId="2D492108" w:rsidR="00086FBF" w:rsidRDefault="0099009D" w:rsidP="008F520D">
      <w:pPr>
        <w:pStyle w:val="Listenabsatz"/>
        <w:numPr>
          <w:ilvl w:val="0"/>
          <w:numId w:val="2"/>
        </w:numPr>
        <w:jc w:val="both"/>
      </w:pPr>
      <w:r>
        <w:t>Wird von einer dieser Schutzvereinbarungen aus wohlüberlegten Gründen abgewichen, ist dies mit dem Vorstand des Vereins abzusprechen. Dabei sind die Gründe kritisch zu diskutieren. Erforderlich ist ein Einvernehmen beider über das sinnvolle und nötige Abweichen von der vereinbarten Schutzvereinbarung.</w:t>
      </w:r>
    </w:p>
    <w:p w14:paraId="6984F477" w14:textId="00D04A10" w:rsidR="0099009D" w:rsidRDefault="0099009D" w:rsidP="008F520D">
      <w:pPr>
        <w:pStyle w:val="Listenabsatz"/>
        <w:numPr>
          <w:ilvl w:val="0"/>
          <w:numId w:val="2"/>
        </w:numPr>
        <w:jc w:val="both"/>
      </w:pPr>
      <w:r>
        <w:t xml:space="preserve">Wenn ein Ehrenamtlicher des Vereins von diesen Schutzvereinbarungen abweicht, wird dies </w:t>
      </w:r>
      <w:r w:rsidR="00336547">
        <w:t>umgehend offen angesprochen.</w:t>
      </w:r>
    </w:p>
    <w:p w14:paraId="38D991E6" w14:textId="459CA02D" w:rsidR="00336547" w:rsidRDefault="00336547" w:rsidP="008F520D">
      <w:pPr>
        <w:pStyle w:val="Listenabsatz"/>
        <w:numPr>
          <w:ilvl w:val="0"/>
          <w:numId w:val="2"/>
        </w:numPr>
        <w:jc w:val="both"/>
      </w:pPr>
      <w:r>
        <w:t>Alle im Verein wissen, auch Gleichgeschlechtlichkeit allein ist kein wirksamer Schutz.</w:t>
      </w:r>
    </w:p>
    <w:p w14:paraId="24B9C48D" w14:textId="6CECDE6B" w:rsidR="00336547" w:rsidRDefault="00336547" w:rsidP="008F520D">
      <w:pPr>
        <w:jc w:val="both"/>
      </w:pPr>
    </w:p>
    <w:p w14:paraId="561D8DA8" w14:textId="1C66263B" w:rsidR="00336547" w:rsidRPr="007225F5" w:rsidRDefault="00336547" w:rsidP="008F520D">
      <w:pPr>
        <w:jc w:val="both"/>
        <w:rPr>
          <w:u w:val="single"/>
        </w:rPr>
      </w:pPr>
      <w:r w:rsidRPr="007225F5">
        <w:rPr>
          <w:u w:val="single"/>
        </w:rPr>
        <w:t xml:space="preserve">Für Kinder und Jugendliche im Verein gilt: </w:t>
      </w:r>
    </w:p>
    <w:p w14:paraId="15D56487" w14:textId="3A771A55" w:rsidR="00336547" w:rsidRDefault="00336547" w:rsidP="008F520D">
      <w:pPr>
        <w:pStyle w:val="Listenabsatz"/>
        <w:numPr>
          <w:ilvl w:val="0"/>
          <w:numId w:val="1"/>
        </w:numPr>
        <w:jc w:val="both"/>
      </w:pPr>
      <w:r>
        <w:t>Mein Körper gehört mir, ich setze die Grenzen für Berührungen.</w:t>
      </w:r>
    </w:p>
    <w:p w14:paraId="063A0487" w14:textId="751B82BC" w:rsidR="00336547" w:rsidRDefault="00336547" w:rsidP="008F520D">
      <w:pPr>
        <w:pStyle w:val="Listenabsatz"/>
        <w:numPr>
          <w:ilvl w:val="0"/>
          <w:numId w:val="1"/>
        </w:numPr>
        <w:jc w:val="both"/>
      </w:pPr>
      <w:r>
        <w:t>Ich habe das Recht, Nein zu sagen, wenn mich jemand auf eine Art berührt, die mir nicht gefällt</w:t>
      </w:r>
    </w:p>
    <w:p w14:paraId="3B7355DE" w14:textId="02FE6C11" w:rsidR="00336547" w:rsidRDefault="00336547" w:rsidP="008F520D">
      <w:pPr>
        <w:pStyle w:val="Listenabsatz"/>
        <w:numPr>
          <w:ilvl w:val="0"/>
          <w:numId w:val="1"/>
        </w:numPr>
        <w:jc w:val="both"/>
      </w:pPr>
      <w:r>
        <w:t xml:space="preserve">Ich darf Nein sagen. Wenn jemand etwas Unangenehmes von mir verlangt, darf ich dies ablehnen, auch wenn diese Person erwachsen oder deutlich älter ist. </w:t>
      </w:r>
    </w:p>
    <w:p w14:paraId="75847727" w14:textId="10273256" w:rsidR="00336547" w:rsidRDefault="00336547" w:rsidP="008F520D">
      <w:pPr>
        <w:pStyle w:val="Listenabsatz"/>
        <w:numPr>
          <w:ilvl w:val="0"/>
          <w:numId w:val="1"/>
        </w:numPr>
        <w:jc w:val="both"/>
      </w:pPr>
      <w:r>
        <w:t>Mein Gefühl ist richtig, wenn ich etwas unangenehm finde, muss dieses Gefühl respektiert werden</w:t>
      </w:r>
    </w:p>
    <w:p w14:paraId="4230E4B6" w14:textId="618DFF7C" w:rsidR="00336547" w:rsidRDefault="00336547" w:rsidP="008F520D">
      <w:pPr>
        <w:pStyle w:val="Listenabsatz"/>
        <w:numPr>
          <w:ilvl w:val="0"/>
          <w:numId w:val="1"/>
        </w:numPr>
        <w:jc w:val="both"/>
      </w:pPr>
      <w:r>
        <w:t>Ich habe keine Schuld. TäterInnen versuchen zwar, das Gefühl zu vermitteln, dass man selbst eine Mitschuld hat. Dies ist ein Trick. Schuld an den Übergriffen und allem was dazu gehört ist immer der Täter bzw. die Täterin.</w:t>
      </w:r>
    </w:p>
    <w:p w14:paraId="1F8F345B" w14:textId="593591F4" w:rsidR="00336547" w:rsidRDefault="00336547" w:rsidP="008F520D">
      <w:pPr>
        <w:pStyle w:val="Listenabsatz"/>
        <w:numPr>
          <w:ilvl w:val="0"/>
          <w:numId w:val="1"/>
        </w:numPr>
        <w:jc w:val="both"/>
      </w:pPr>
      <w:r>
        <w:t>Hilfe holen: Ich benötige Hilfe von Gleichaltrigen und Erwachsenen. Ich habe das Recht, mir Hilfe zu holen, wenn es mich ängstigt oder ich mir über eine Situation ungewiss bin.</w:t>
      </w:r>
    </w:p>
    <w:p w14:paraId="772D1694" w14:textId="17C81CE9" w:rsidR="00336547" w:rsidRDefault="00336547" w:rsidP="008F520D">
      <w:pPr>
        <w:pStyle w:val="Listenabsatz"/>
        <w:jc w:val="both"/>
      </w:pPr>
    </w:p>
    <w:p w14:paraId="7309D4E8" w14:textId="2B858BD9" w:rsidR="00336547" w:rsidRDefault="00336547" w:rsidP="008F520D">
      <w:pPr>
        <w:pStyle w:val="Listenabsatz"/>
        <w:jc w:val="both"/>
      </w:pPr>
      <w:r>
        <w:t>„Was du nicht willst was man dir tut, das füg auch keinem andren zu!“</w:t>
      </w:r>
    </w:p>
    <w:p w14:paraId="48BC6F69" w14:textId="000AFD98" w:rsidR="00336547" w:rsidRDefault="00336547" w:rsidP="008F520D">
      <w:pPr>
        <w:pStyle w:val="Listenabsatz"/>
        <w:jc w:val="both"/>
      </w:pPr>
    </w:p>
    <w:p w14:paraId="40AF59A8" w14:textId="4C68F25E" w:rsidR="00336547" w:rsidRPr="007225F5" w:rsidRDefault="00CD5573" w:rsidP="008F520D">
      <w:pPr>
        <w:jc w:val="both"/>
        <w:rPr>
          <w:u w:val="single"/>
        </w:rPr>
      </w:pPr>
      <w:r w:rsidRPr="007225F5">
        <w:rPr>
          <w:u w:val="single"/>
        </w:rPr>
        <w:t>Handeln bei einem „Verdachtsfall sexualisierte Gewalt“</w:t>
      </w:r>
    </w:p>
    <w:p w14:paraId="2692EEC2" w14:textId="7CFA24BB" w:rsidR="00CD5573" w:rsidRDefault="00CD5573" w:rsidP="008F520D">
      <w:pPr>
        <w:pStyle w:val="Listenabsatz"/>
        <w:numPr>
          <w:ilvl w:val="0"/>
          <w:numId w:val="1"/>
        </w:numPr>
        <w:jc w:val="both"/>
      </w:pPr>
      <w:r>
        <w:t>Gewichtigen Anhaltspunkte für eine Kindewohlgefährdung erkennen und schriftlich festhalten</w:t>
      </w:r>
    </w:p>
    <w:p w14:paraId="236012A5" w14:textId="151F0458" w:rsidR="00CD5573" w:rsidRDefault="00CD5573" w:rsidP="008F520D">
      <w:pPr>
        <w:pStyle w:val="Listenabsatz"/>
        <w:numPr>
          <w:ilvl w:val="0"/>
          <w:numId w:val="1"/>
        </w:numPr>
        <w:jc w:val="both"/>
      </w:pPr>
      <w:r>
        <w:t>Der eigenen Wahrnehmung trauen und sie konkretisieren</w:t>
      </w:r>
    </w:p>
    <w:p w14:paraId="61F65160" w14:textId="375386CA" w:rsidR="00CD5573" w:rsidRDefault="00CD5573" w:rsidP="008F520D">
      <w:pPr>
        <w:pStyle w:val="Listenabsatz"/>
        <w:numPr>
          <w:ilvl w:val="1"/>
          <w:numId w:val="1"/>
        </w:numPr>
        <w:jc w:val="both"/>
      </w:pPr>
      <w:r>
        <w:t>Was?</w:t>
      </w:r>
    </w:p>
    <w:p w14:paraId="1A66B912" w14:textId="7C6A7942" w:rsidR="00CD5573" w:rsidRDefault="00CD5573" w:rsidP="008F520D">
      <w:pPr>
        <w:pStyle w:val="Listenabsatz"/>
        <w:numPr>
          <w:ilvl w:val="1"/>
          <w:numId w:val="1"/>
        </w:numPr>
        <w:jc w:val="both"/>
      </w:pPr>
      <w:r>
        <w:t>Wann?</w:t>
      </w:r>
    </w:p>
    <w:p w14:paraId="1BBAE5C5" w14:textId="5AE08530" w:rsidR="00CD5573" w:rsidRDefault="00CD5573" w:rsidP="008F520D">
      <w:pPr>
        <w:pStyle w:val="Listenabsatz"/>
        <w:numPr>
          <w:ilvl w:val="1"/>
          <w:numId w:val="1"/>
        </w:numPr>
        <w:jc w:val="both"/>
      </w:pPr>
      <w:r>
        <w:t>Wo?</w:t>
      </w:r>
    </w:p>
    <w:p w14:paraId="72626005" w14:textId="4EE2E72C" w:rsidR="00CD5573" w:rsidRDefault="00CD5573" w:rsidP="008F520D">
      <w:pPr>
        <w:pStyle w:val="Listenabsatz"/>
        <w:numPr>
          <w:ilvl w:val="1"/>
          <w:numId w:val="1"/>
        </w:numPr>
        <w:jc w:val="both"/>
      </w:pPr>
      <w:r>
        <w:t>Welche?</w:t>
      </w:r>
    </w:p>
    <w:p w14:paraId="71CB527B" w14:textId="4FA10612" w:rsidR="00CD5573" w:rsidRDefault="00CD5573" w:rsidP="008F520D">
      <w:pPr>
        <w:pStyle w:val="Listenabsatz"/>
        <w:numPr>
          <w:ilvl w:val="0"/>
          <w:numId w:val="1"/>
        </w:numPr>
        <w:jc w:val="both"/>
      </w:pPr>
      <w:r>
        <w:t>Ruhe bewahren und nichts überstürzen! Nicht auf eigen Faust handeln!</w:t>
      </w:r>
    </w:p>
    <w:p w14:paraId="6F72C11E" w14:textId="65BF09B4" w:rsidR="00CD5573" w:rsidRDefault="00CD5573" w:rsidP="008F520D">
      <w:pPr>
        <w:pStyle w:val="Listenabsatz"/>
        <w:numPr>
          <w:ilvl w:val="0"/>
          <w:numId w:val="1"/>
        </w:numPr>
        <w:jc w:val="both"/>
      </w:pPr>
      <w:r>
        <w:t xml:space="preserve">Dokumentation der Feststellungen bzw. der Informationen. </w:t>
      </w:r>
    </w:p>
    <w:p w14:paraId="6CE42258" w14:textId="35B16A2E" w:rsidR="00CD5573" w:rsidRDefault="00CD5573" w:rsidP="008F520D">
      <w:pPr>
        <w:pStyle w:val="Listenabsatz"/>
        <w:numPr>
          <w:ilvl w:val="1"/>
          <w:numId w:val="1"/>
        </w:numPr>
        <w:jc w:val="both"/>
      </w:pPr>
      <w:r>
        <w:t>Zeitpunkt</w:t>
      </w:r>
    </w:p>
    <w:p w14:paraId="72432BF1" w14:textId="716A8668" w:rsidR="00CD5573" w:rsidRDefault="00CD5573" w:rsidP="008F520D">
      <w:pPr>
        <w:pStyle w:val="Listenabsatz"/>
        <w:numPr>
          <w:ilvl w:val="1"/>
          <w:numId w:val="1"/>
        </w:numPr>
        <w:jc w:val="both"/>
      </w:pPr>
      <w:r>
        <w:t>Art der Feststellung oder wörtlicher Inhalt der Information</w:t>
      </w:r>
    </w:p>
    <w:p w14:paraId="47A36799" w14:textId="7E9A5BDC" w:rsidR="00CD5573" w:rsidRDefault="00CD5573" w:rsidP="008F520D">
      <w:pPr>
        <w:pStyle w:val="Listenabsatz"/>
        <w:numPr>
          <w:ilvl w:val="1"/>
          <w:numId w:val="1"/>
        </w:numPr>
        <w:jc w:val="both"/>
      </w:pPr>
      <w:r>
        <w:t xml:space="preserve">Reine Mitteilung dokumentieren, ohne Interpretation </w:t>
      </w:r>
    </w:p>
    <w:p w14:paraId="6563D4A5" w14:textId="2A63CFC8" w:rsidR="00CD5573" w:rsidRDefault="00CD5573" w:rsidP="008F520D">
      <w:pPr>
        <w:pStyle w:val="Listenabsatz"/>
        <w:numPr>
          <w:ilvl w:val="0"/>
          <w:numId w:val="1"/>
        </w:numPr>
        <w:jc w:val="both"/>
      </w:pPr>
      <w:r>
        <w:t>Dem Betroffenen zuhören und Glauben schenken</w:t>
      </w:r>
    </w:p>
    <w:p w14:paraId="5226EFFD" w14:textId="2DF40C50" w:rsidR="00CD5573" w:rsidRDefault="00CD5573" w:rsidP="008F520D">
      <w:pPr>
        <w:pStyle w:val="Listenabsatz"/>
        <w:numPr>
          <w:ilvl w:val="0"/>
          <w:numId w:val="1"/>
        </w:numPr>
        <w:jc w:val="both"/>
      </w:pPr>
      <w:r>
        <w:t>Weiter Schritte einleiten</w:t>
      </w:r>
    </w:p>
    <w:p w14:paraId="068916E2" w14:textId="1E1430EF" w:rsidR="00CD5573" w:rsidRDefault="00CD5573" w:rsidP="008F520D">
      <w:pPr>
        <w:pStyle w:val="Listenabsatz"/>
        <w:numPr>
          <w:ilvl w:val="1"/>
          <w:numId w:val="1"/>
        </w:numPr>
        <w:jc w:val="both"/>
      </w:pPr>
      <w:r>
        <w:t>Information an Eltern – nur mit Absprache</w:t>
      </w:r>
    </w:p>
    <w:p w14:paraId="07A61486" w14:textId="5C5BCA07" w:rsidR="00CD5573" w:rsidRDefault="00CD5573" w:rsidP="008F520D">
      <w:pPr>
        <w:pStyle w:val="Listenabsatz"/>
        <w:numPr>
          <w:ilvl w:val="1"/>
          <w:numId w:val="1"/>
        </w:numPr>
        <w:jc w:val="both"/>
      </w:pPr>
      <w:r>
        <w:t>Nicht „über den Kopf“</w:t>
      </w:r>
      <w:r w:rsidR="007225F5">
        <w:t xml:space="preserve"> des Betroffenen</w:t>
      </w:r>
      <w:r>
        <w:t xml:space="preserve"> weg entscheiden </w:t>
      </w:r>
    </w:p>
    <w:p w14:paraId="6F9A133E" w14:textId="61989399" w:rsidR="00CD5573" w:rsidRDefault="00CD5573" w:rsidP="008F520D">
      <w:pPr>
        <w:pStyle w:val="Listenabsatz"/>
        <w:numPr>
          <w:ilvl w:val="1"/>
          <w:numId w:val="1"/>
        </w:numPr>
        <w:jc w:val="both"/>
      </w:pPr>
      <w:r>
        <w:t>Keine Versprechungen abgeben!</w:t>
      </w:r>
    </w:p>
    <w:p w14:paraId="48199033" w14:textId="0EE43839" w:rsidR="00CD5573" w:rsidRDefault="00CD5573" w:rsidP="008F520D">
      <w:pPr>
        <w:pStyle w:val="Listenabsatz"/>
        <w:numPr>
          <w:ilvl w:val="1"/>
          <w:numId w:val="1"/>
        </w:numPr>
        <w:jc w:val="both"/>
      </w:pPr>
      <w:r>
        <w:t>Kontakt zu den Ansprechpartnern im Verein aufnehmen</w:t>
      </w:r>
      <w:r w:rsidR="007225F5">
        <w:t xml:space="preserve"> und beraten.</w:t>
      </w:r>
    </w:p>
    <w:p w14:paraId="14B5D2D5" w14:textId="429A84A9" w:rsidR="00CD5573" w:rsidRDefault="00CD5573" w:rsidP="008F520D">
      <w:pPr>
        <w:pStyle w:val="Listenabsatz"/>
        <w:numPr>
          <w:ilvl w:val="1"/>
          <w:numId w:val="1"/>
        </w:numPr>
        <w:jc w:val="both"/>
      </w:pPr>
      <w:r>
        <w:t>Wenn Wunsch erforderlich Kontaktaufnahm mit Fachberatungsstelle und/oder Jugendamt</w:t>
      </w:r>
    </w:p>
    <w:p w14:paraId="3CE01ADD" w14:textId="37D61046" w:rsidR="00A12B8C" w:rsidRDefault="00A12B8C" w:rsidP="008F520D">
      <w:pPr>
        <w:pStyle w:val="Listenabsatz"/>
        <w:numPr>
          <w:ilvl w:val="1"/>
          <w:numId w:val="1"/>
        </w:numPr>
        <w:jc w:val="both"/>
      </w:pPr>
      <w:r>
        <w:t>Bei Verhärtetem Verdachtsfall Kontaktaufnahme zu einem Rechtsbeistand.</w:t>
      </w:r>
    </w:p>
    <w:p w14:paraId="2A3B2266" w14:textId="644DA58B" w:rsidR="00A12B8C" w:rsidRDefault="00A12B8C" w:rsidP="008F520D">
      <w:pPr>
        <w:pStyle w:val="Listenabsatz"/>
        <w:numPr>
          <w:ilvl w:val="1"/>
          <w:numId w:val="1"/>
        </w:numPr>
        <w:jc w:val="both"/>
      </w:pPr>
      <w:r>
        <w:t>Abklärung, ob Polizei und Staatsanwaltschaft eingeschaltet werden muss</w:t>
      </w:r>
    </w:p>
    <w:p w14:paraId="1B2B7F71" w14:textId="2777F727" w:rsidR="00CD5573" w:rsidRDefault="00CD5573" w:rsidP="008F520D">
      <w:pPr>
        <w:pStyle w:val="Listenabsatz"/>
        <w:numPr>
          <w:ilvl w:val="1"/>
          <w:numId w:val="1"/>
        </w:numPr>
        <w:jc w:val="both"/>
      </w:pPr>
      <w:r>
        <w:t>Dokumentation aller Gespräche in zeitlicher Reihenfolge in Fallakte</w:t>
      </w:r>
    </w:p>
    <w:p w14:paraId="78CBEE6C" w14:textId="1A014B04" w:rsidR="00086FBF" w:rsidRDefault="00A12B8C" w:rsidP="008F520D">
      <w:pPr>
        <w:pStyle w:val="Listenabsatz"/>
        <w:numPr>
          <w:ilvl w:val="1"/>
          <w:numId w:val="1"/>
        </w:numPr>
        <w:jc w:val="both"/>
      </w:pPr>
      <w:r>
        <w:t>Sollte der Fall an die Öffentlichkeit geraten, muss offen kommuniziert werden, welche Schutz- und Präventionsmaßnahmen der Verein unternommen hat</w:t>
      </w:r>
    </w:p>
    <w:sectPr w:rsidR="00086FB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669C" w14:textId="77777777" w:rsidR="00EF1A15" w:rsidRDefault="00EF1A15" w:rsidP="000A5E81">
      <w:pPr>
        <w:spacing w:after="0" w:line="240" w:lineRule="auto"/>
      </w:pPr>
      <w:r>
        <w:separator/>
      </w:r>
    </w:p>
  </w:endnote>
  <w:endnote w:type="continuationSeparator" w:id="0">
    <w:p w14:paraId="59BE58E0" w14:textId="77777777" w:rsidR="00EF1A15" w:rsidRDefault="00EF1A15" w:rsidP="000A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039E" w14:textId="77777777" w:rsidR="00EF1A15" w:rsidRDefault="00EF1A15" w:rsidP="000A5E81">
      <w:pPr>
        <w:spacing w:after="0" w:line="240" w:lineRule="auto"/>
      </w:pPr>
      <w:r>
        <w:separator/>
      </w:r>
    </w:p>
  </w:footnote>
  <w:footnote w:type="continuationSeparator" w:id="0">
    <w:p w14:paraId="520155AE" w14:textId="77777777" w:rsidR="00EF1A15" w:rsidRDefault="00EF1A15" w:rsidP="000A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A67C" w14:textId="6829E251" w:rsidR="000A5E81" w:rsidRDefault="000A5E81" w:rsidP="000A5E81">
    <w:pPr>
      <w:pStyle w:val="StandardWeb"/>
    </w:pPr>
    <w:r>
      <w:rPr>
        <w:noProof/>
      </w:rPr>
      <w:drawing>
        <wp:anchor distT="0" distB="0" distL="114300" distR="114300" simplePos="0" relativeHeight="251658240" behindDoc="0" locked="0" layoutInCell="1" allowOverlap="1" wp14:anchorId="335D887B" wp14:editId="6F3FD89D">
          <wp:simplePos x="0" y="0"/>
          <wp:positionH relativeFrom="column">
            <wp:posOffset>5024755</wp:posOffset>
          </wp:positionH>
          <wp:positionV relativeFrom="paragraph">
            <wp:posOffset>-449580</wp:posOffset>
          </wp:positionV>
          <wp:extent cx="1774424" cy="15621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424"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7FC48" w14:textId="77777777" w:rsidR="000A5E81" w:rsidRDefault="000A5E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E288A"/>
    <w:multiLevelType w:val="hybridMultilevel"/>
    <w:tmpl w:val="40A21682"/>
    <w:lvl w:ilvl="0" w:tplc="ED1A854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0C3ADF"/>
    <w:multiLevelType w:val="hybridMultilevel"/>
    <w:tmpl w:val="C4241B9E"/>
    <w:lvl w:ilvl="0" w:tplc="8192589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5964407">
    <w:abstractNumId w:val="0"/>
  </w:num>
  <w:num w:numId="2" w16cid:durableId="210175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AE"/>
    <w:rsid w:val="00086FBF"/>
    <w:rsid w:val="000A5E81"/>
    <w:rsid w:val="00336547"/>
    <w:rsid w:val="003379B2"/>
    <w:rsid w:val="003D32AE"/>
    <w:rsid w:val="00531676"/>
    <w:rsid w:val="007225F5"/>
    <w:rsid w:val="008F520D"/>
    <w:rsid w:val="0099009D"/>
    <w:rsid w:val="00A12B8C"/>
    <w:rsid w:val="00AF739F"/>
    <w:rsid w:val="00B7424F"/>
    <w:rsid w:val="00C478B1"/>
    <w:rsid w:val="00CB02D5"/>
    <w:rsid w:val="00CD5573"/>
    <w:rsid w:val="00EF1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4D59"/>
  <w15:chartTrackingRefBased/>
  <w15:docId w15:val="{B8321569-0233-48EF-B7AF-89948127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6FBF"/>
    <w:pPr>
      <w:ind w:left="720"/>
      <w:contextualSpacing/>
    </w:pPr>
  </w:style>
  <w:style w:type="paragraph" w:styleId="Kopfzeile">
    <w:name w:val="header"/>
    <w:basedOn w:val="Standard"/>
    <w:link w:val="KopfzeileZchn"/>
    <w:uiPriority w:val="99"/>
    <w:unhideWhenUsed/>
    <w:rsid w:val="000A5E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5E81"/>
  </w:style>
  <w:style w:type="paragraph" w:styleId="Fuzeile">
    <w:name w:val="footer"/>
    <w:basedOn w:val="Standard"/>
    <w:link w:val="FuzeileZchn"/>
    <w:uiPriority w:val="99"/>
    <w:unhideWhenUsed/>
    <w:rsid w:val="000A5E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5E81"/>
  </w:style>
  <w:style w:type="paragraph" w:styleId="StandardWeb">
    <w:name w:val="Normal (Web)"/>
    <w:basedOn w:val="Standard"/>
    <w:uiPriority w:val="99"/>
    <w:semiHidden/>
    <w:unhideWhenUsed/>
    <w:rsid w:val="000A5E8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Feifel</dc:creator>
  <cp:keywords/>
  <dc:description/>
  <cp:lastModifiedBy>Katrin Feifel</cp:lastModifiedBy>
  <cp:revision>2</cp:revision>
  <cp:lastPrinted>2024-03-16T09:51:00Z</cp:lastPrinted>
  <dcterms:created xsi:type="dcterms:W3CDTF">2022-03-19T10:05:00Z</dcterms:created>
  <dcterms:modified xsi:type="dcterms:W3CDTF">2024-03-16T10:02:00Z</dcterms:modified>
</cp:coreProperties>
</file>